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ED" w:rsidRDefault="00150BED">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817"/>
        <w:gridCol w:w="3686"/>
        <w:gridCol w:w="6479"/>
      </w:tblGrid>
      <w:tr w:rsidR="00EF7FDF" w:rsidRPr="002115C2">
        <w:trPr>
          <w:jc w:val="center"/>
        </w:trPr>
        <w:tc>
          <w:tcPr>
            <w:tcW w:w="817" w:type="dxa"/>
          </w:tcPr>
          <w:p w:rsidR="00150BED" w:rsidRDefault="00150BED" w:rsidP="00037AB7">
            <w:pPr>
              <w:jc w:val="center"/>
              <w:rPr>
                <w:b/>
                <w:sz w:val="20"/>
              </w:rPr>
            </w:pPr>
          </w:p>
          <w:p w:rsidR="00EF7FDF" w:rsidRPr="002115C2" w:rsidRDefault="00EF7FDF" w:rsidP="00037AB7">
            <w:pPr>
              <w:jc w:val="center"/>
              <w:rPr>
                <w:b/>
                <w:sz w:val="20"/>
              </w:rPr>
            </w:pPr>
            <w:r w:rsidRPr="002115C2">
              <w:rPr>
                <w:b/>
                <w:sz w:val="20"/>
              </w:rPr>
              <w:t>2</w:t>
            </w:r>
            <w:r w:rsidRPr="002115C2">
              <w:rPr>
                <w:b/>
                <w:sz w:val="20"/>
                <w:vertAlign w:val="superscript"/>
              </w:rPr>
              <w:t>nde</w:t>
            </w:r>
          </w:p>
          <w:p w:rsidR="00EF7FDF" w:rsidRPr="002115C2" w:rsidRDefault="00EF7FDF" w:rsidP="00037AB7">
            <w:pPr>
              <w:jc w:val="center"/>
              <w:rPr>
                <w:b/>
                <w:sz w:val="20"/>
              </w:rPr>
            </w:pPr>
          </w:p>
        </w:tc>
        <w:tc>
          <w:tcPr>
            <w:tcW w:w="3686" w:type="dxa"/>
          </w:tcPr>
          <w:p w:rsidR="00EF7FDF" w:rsidRPr="002115C2" w:rsidRDefault="00EF7FDF" w:rsidP="00037AB7">
            <w:pPr>
              <w:rPr>
                <w:b/>
                <w:sz w:val="20"/>
              </w:rPr>
            </w:pPr>
            <w:r w:rsidRPr="002115C2">
              <w:rPr>
                <w:sz w:val="20"/>
              </w:rPr>
              <w:t xml:space="preserve"> </w:t>
            </w:r>
            <w:r w:rsidRPr="00AB0B5F">
              <w:rPr>
                <w:sz w:val="20"/>
              </w:rPr>
              <w:t>&gt;  L'unité chimique du vivant &gt;</w:t>
            </w:r>
            <w:r w:rsidRPr="00AB0B5F">
              <w:rPr>
                <w:bCs/>
                <w:sz w:val="20"/>
                <w:szCs w:val="18"/>
              </w:rPr>
              <w:t xml:space="preserve"> </w:t>
            </w:r>
            <w:r w:rsidRPr="009D1B5D">
              <w:rPr>
                <w:b/>
                <w:bCs/>
                <w:sz w:val="20"/>
                <w:szCs w:val="18"/>
              </w:rPr>
              <w:t>L’A</w:t>
            </w:r>
            <w:r>
              <w:rPr>
                <w:b/>
                <w:bCs/>
                <w:sz w:val="20"/>
                <w:szCs w:val="18"/>
              </w:rPr>
              <w:t>DN est une molécule informative</w:t>
            </w:r>
          </w:p>
        </w:tc>
        <w:tc>
          <w:tcPr>
            <w:tcW w:w="6479" w:type="dxa"/>
          </w:tcPr>
          <w:p w:rsidR="00EF7FDF" w:rsidRPr="00AB0B5F" w:rsidRDefault="00EF7FDF" w:rsidP="00037AB7">
            <w:pPr>
              <w:rPr>
                <w:sz w:val="20"/>
              </w:rPr>
            </w:pPr>
            <w:r>
              <w:rPr>
                <w:b/>
                <w:i/>
                <w:sz w:val="20"/>
              </w:rPr>
              <w:t>Compétences </w:t>
            </w:r>
            <w:r w:rsidRPr="002115C2">
              <w:rPr>
                <w:i/>
                <w:sz w:val="20"/>
              </w:rPr>
              <w:t>:</w:t>
            </w:r>
            <w:r w:rsidRPr="00824EED">
              <w:rPr>
                <w:b/>
                <w:i/>
                <w:sz w:val="18"/>
              </w:rPr>
              <w:t xml:space="preserve"> </w:t>
            </w:r>
            <w:r w:rsidR="00150BED">
              <w:rPr>
                <w:sz w:val="18"/>
              </w:rPr>
              <w:t>R</w:t>
            </w:r>
            <w:r>
              <w:rPr>
                <w:sz w:val="18"/>
              </w:rPr>
              <w:t xml:space="preserve">éaliser une préparation microscopique/ utilisation microscope/ </w:t>
            </w:r>
            <w:r w:rsidR="00150BED">
              <w:rPr>
                <w:sz w:val="18"/>
              </w:rPr>
              <w:t>Prise photo numérique. Utiliser anagène/ raisonner / communiquer/  1</w:t>
            </w:r>
            <w:r w:rsidR="00ED5CF6">
              <w:rPr>
                <w:sz w:val="18"/>
              </w:rPr>
              <w:t>h</w:t>
            </w:r>
            <w:r>
              <w:rPr>
                <w:sz w:val="18"/>
              </w:rPr>
              <w:t xml:space="preserve">/15 pts </w:t>
            </w:r>
          </w:p>
        </w:tc>
      </w:tr>
    </w:tbl>
    <w:p w:rsidR="00EF7FDF" w:rsidRPr="00037AB7" w:rsidRDefault="00EF7FDF" w:rsidP="003B75E9">
      <w:pPr>
        <w:jc w:val="both"/>
        <w:rPr>
          <w:sz w:val="20"/>
        </w:rPr>
      </w:pPr>
      <w:r w:rsidRPr="00037AB7">
        <w:rPr>
          <w:b/>
          <w:sz w:val="20"/>
          <w:u w:val="single"/>
        </w:rPr>
        <w:t>Contexte</w:t>
      </w:r>
      <w:r w:rsidRPr="00037AB7">
        <w:rPr>
          <w:b/>
        </w:rPr>
        <w:t> </w:t>
      </w:r>
      <w:r w:rsidRPr="00037AB7">
        <w:rPr>
          <w:sz w:val="20"/>
        </w:rPr>
        <w:t xml:space="preserve">: </w:t>
      </w:r>
      <w:r w:rsidRPr="00037AB7">
        <w:rPr>
          <w:bCs/>
          <w:sz w:val="20"/>
        </w:rPr>
        <w:t>L’ADN est la molécule qui porte l’information génétique. Cette information est codée : une séquence spécifique de nucléotides = un gène (ou une version de ce gène</w:t>
      </w:r>
      <w:r w:rsidR="00150BED">
        <w:rPr>
          <w:bCs/>
          <w:sz w:val="20"/>
        </w:rPr>
        <w:t xml:space="preserve"> </w:t>
      </w:r>
      <w:r w:rsidRPr="00037AB7">
        <w:rPr>
          <w:bCs/>
          <w:sz w:val="20"/>
        </w:rPr>
        <w:t>: l’allèle) à l’origine d’un caractère spécifique.</w:t>
      </w:r>
    </w:p>
    <w:p w:rsidR="00EF7FDF" w:rsidRDefault="00EF7FDF" w:rsidP="003B75E9">
      <w:pPr>
        <w:jc w:val="both"/>
        <w:rPr>
          <w:bCs/>
          <w:sz w:val="20"/>
        </w:rPr>
      </w:pPr>
      <w:r w:rsidRPr="00037AB7">
        <w:rPr>
          <w:bCs/>
          <w:sz w:val="20"/>
        </w:rPr>
        <w:t>Les mutations peuvent modifier une séquence et donc être à l’origine d’un nouveau caractère héréditaire si celui-ci est transmis par les cellules gamètes lors de la reproduction.</w:t>
      </w:r>
    </w:p>
    <w:p w:rsidR="00EF7FDF" w:rsidRDefault="00EF7FDF" w:rsidP="00EF7FDF">
      <w:pPr>
        <w:rPr>
          <w:sz w:val="20"/>
        </w:rPr>
      </w:pPr>
      <w:r w:rsidRPr="000D394E">
        <w:rPr>
          <w:b/>
          <w:sz w:val="20"/>
          <w:u w:val="single"/>
        </w:rPr>
        <w:t>Activité proposée </w:t>
      </w:r>
      <w:r>
        <w:rPr>
          <w:sz w:val="20"/>
        </w:rPr>
        <w:t xml:space="preserve">: </w:t>
      </w:r>
    </w:p>
    <w:p w:rsidR="00EF7FDF" w:rsidRDefault="00EF7FDF" w:rsidP="00150BED">
      <w:pPr>
        <w:pBdr>
          <w:top w:val="single" w:sz="4" w:space="1" w:color="auto"/>
          <w:left w:val="single" w:sz="4" w:space="4" w:color="auto"/>
          <w:bottom w:val="single" w:sz="4" w:space="1" w:color="auto"/>
          <w:right w:val="single" w:sz="4" w:space="4" w:color="auto"/>
        </w:pBdr>
        <w:rPr>
          <w:sz w:val="20"/>
        </w:rPr>
      </w:pPr>
      <w:r>
        <w:rPr>
          <w:sz w:val="20"/>
        </w:rPr>
        <w:t xml:space="preserve">Vous travaillez dans un laboratoire d’analyse biologique, votre directeur de recherche vous demande </w:t>
      </w:r>
      <w:r w:rsidRPr="000D394E">
        <w:rPr>
          <w:b/>
          <w:sz w:val="20"/>
        </w:rPr>
        <w:t>d’expliquer l’origine génétique des variations de couleurs des cellules de levures (champignons microscopiques).</w:t>
      </w:r>
      <w:r>
        <w:rPr>
          <w:sz w:val="20"/>
        </w:rPr>
        <w:t xml:space="preserve"> </w:t>
      </w:r>
    </w:p>
    <w:p w:rsidR="00EF7FDF" w:rsidRDefault="00EF7FDF" w:rsidP="00150BED">
      <w:pPr>
        <w:pBdr>
          <w:top w:val="single" w:sz="4" w:space="1" w:color="auto"/>
          <w:left w:val="single" w:sz="4" w:space="4" w:color="auto"/>
          <w:bottom w:val="single" w:sz="4" w:space="1" w:color="auto"/>
          <w:right w:val="single" w:sz="4" w:space="4" w:color="auto"/>
        </w:pBdr>
        <w:rPr>
          <w:sz w:val="20"/>
        </w:rPr>
      </w:pPr>
      <w:r>
        <w:rPr>
          <w:sz w:val="20"/>
        </w:rPr>
        <w:t xml:space="preserve">On vous précise que la couleur </w:t>
      </w:r>
      <w:r w:rsidR="00150BED">
        <w:rPr>
          <w:sz w:val="20"/>
        </w:rPr>
        <w:t>des levures</w:t>
      </w:r>
      <w:r>
        <w:rPr>
          <w:sz w:val="20"/>
        </w:rPr>
        <w:t xml:space="preserve"> dépend de l’e</w:t>
      </w:r>
      <w:r w:rsidR="00D7201D">
        <w:rPr>
          <w:sz w:val="20"/>
        </w:rPr>
        <w:t>xpression d’un gène « tyralba</w:t>
      </w:r>
      <w:r>
        <w:rPr>
          <w:sz w:val="20"/>
        </w:rPr>
        <w:t>» et que ce gène peut exister sous p</w:t>
      </w:r>
      <w:r w:rsidR="00D7201D">
        <w:rPr>
          <w:sz w:val="20"/>
        </w:rPr>
        <w:t>lusieurs versions alléliques « tyralba1 », « tyralba2</w:t>
      </w:r>
      <w:r>
        <w:rPr>
          <w:sz w:val="20"/>
        </w:rPr>
        <w:t> </w:t>
      </w:r>
      <w:r w:rsidR="00D7201D">
        <w:rPr>
          <w:sz w:val="20"/>
        </w:rPr>
        <w:t>» et « tyralba3</w:t>
      </w:r>
      <w:r>
        <w:rPr>
          <w:sz w:val="20"/>
        </w:rPr>
        <w:t xml:space="preserve"> » </w:t>
      </w:r>
    </w:p>
    <w:p w:rsidR="00150BED" w:rsidRDefault="00EF7FDF" w:rsidP="00EF7FDF">
      <w:pPr>
        <w:rPr>
          <w:sz w:val="20"/>
        </w:rPr>
      </w:pPr>
      <w:r>
        <w:rPr>
          <w:b/>
          <w:sz w:val="20"/>
        </w:rPr>
        <w:t xml:space="preserve">&gt; </w:t>
      </w:r>
      <w:r w:rsidRPr="000D394E">
        <w:rPr>
          <w:b/>
          <w:sz w:val="20"/>
        </w:rPr>
        <w:t xml:space="preserve">On vous demande de communiquer </w:t>
      </w:r>
      <w:r w:rsidR="00150BED" w:rsidRPr="000D394E">
        <w:rPr>
          <w:b/>
          <w:sz w:val="20"/>
        </w:rPr>
        <w:t>votre réponse avec des illustrations </w:t>
      </w:r>
      <w:r w:rsidR="00150BED">
        <w:rPr>
          <w:b/>
          <w:sz w:val="20"/>
        </w:rPr>
        <w:t xml:space="preserve"> </w:t>
      </w:r>
      <w:r w:rsidR="00150BED" w:rsidRPr="00150BED">
        <w:rPr>
          <w:sz w:val="20"/>
        </w:rPr>
        <w:t>(en numérique ou/et à l’écrit)</w:t>
      </w:r>
      <w:r w:rsidRPr="00150BED">
        <w:rPr>
          <w:sz w:val="20"/>
        </w:rPr>
        <w:t>:</w:t>
      </w:r>
      <w:r w:rsidRPr="000D394E">
        <w:rPr>
          <w:b/>
          <w:sz w:val="20"/>
        </w:rPr>
        <w:t xml:space="preserve"> </w:t>
      </w:r>
      <w:r w:rsidRPr="006A021F">
        <w:rPr>
          <w:sz w:val="20"/>
        </w:rPr>
        <w:t xml:space="preserve">photos numériques des différentes levures. Capture d’écran de vos comparaisons moléculaires avec Anagène pour argumenter vos explications. </w:t>
      </w:r>
      <w:r w:rsidR="00150BED">
        <w:rPr>
          <w:sz w:val="20"/>
        </w:rPr>
        <w:t>Des p</w:t>
      </w:r>
      <w:r w:rsidR="006A021F" w:rsidRPr="006A021F">
        <w:rPr>
          <w:sz w:val="20"/>
        </w:rPr>
        <w:t>réci</w:t>
      </w:r>
      <w:r w:rsidR="00150BED">
        <w:rPr>
          <w:sz w:val="20"/>
        </w:rPr>
        <w:t>sions sur le type de mutations so</w:t>
      </w:r>
      <w:r w:rsidR="003B75E9">
        <w:rPr>
          <w:sz w:val="20"/>
        </w:rPr>
        <w:t xml:space="preserve">nt attendues. </w:t>
      </w:r>
    </w:p>
    <w:p w:rsidR="00EF7FDF" w:rsidRDefault="00EF7FDF" w:rsidP="00EF7FDF">
      <w:pPr>
        <w:rPr>
          <w:sz w:val="20"/>
        </w:rPr>
      </w:pPr>
    </w:p>
    <w:tbl>
      <w:tblPr>
        <w:tblStyle w:val="Grille"/>
        <w:tblW w:w="0" w:type="auto"/>
        <w:tblLook w:val="00BF"/>
      </w:tblPr>
      <w:tblGrid>
        <w:gridCol w:w="926"/>
        <w:gridCol w:w="9980"/>
      </w:tblGrid>
      <w:tr w:rsidR="00EF7FDF">
        <w:trPr>
          <w:cantSplit/>
          <w:trHeight w:val="1134"/>
        </w:trPr>
        <w:tc>
          <w:tcPr>
            <w:tcW w:w="926" w:type="dxa"/>
            <w:textDirection w:val="tbRl"/>
          </w:tcPr>
          <w:p w:rsidR="006A021F" w:rsidRDefault="006A021F" w:rsidP="00150BED">
            <w:pPr>
              <w:ind w:left="113" w:right="113"/>
              <w:rPr>
                <w:sz w:val="20"/>
              </w:rPr>
            </w:pPr>
          </w:p>
          <w:p w:rsidR="00EF7FDF" w:rsidRPr="00150BED" w:rsidRDefault="00EF7FDF" w:rsidP="00150BED">
            <w:pPr>
              <w:ind w:left="113" w:right="113"/>
              <w:jc w:val="center"/>
              <w:rPr>
                <w:b/>
                <w:sz w:val="20"/>
              </w:rPr>
            </w:pPr>
            <w:r w:rsidRPr="00150BED">
              <w:rPr>
                <w:b/>
                <w:sz w:val="20"/>
              </w:rPr>
              <w:t>Matériel disponible</w:t>
            </w:r>
          </w:p>
        </w:tc>
        <w:tc>
          <w:tcPr>
            <w:tcW w:w="9980" w:type="dxa"/>
          </w:tcPr>
          <w:p w:rsidR="00D7201D" w:rsidRDefault="00D7201D" w:rsidP="00037AB7">
            <w:pPr>
              <w:rPr>
                <w:sz w:val="20"/>
              </w:rPr>
            </w:pPr>
            <w:r>
              <w:rPr>
                <w:noProof/>
                <w:sz w:val="20"/>
                <w:u w:val="single"/>
                <w:lang w:eastAsia="fr-FR"/>
              </w:rPr>
              <w:drawing>
                <wp:anchor distT="0" distB="0" distL="114300" distR="114300" simplePos="0" relativeHeight="251658240" behindDoc="0" locked="0" layoutInCell="1" allowOverlap="1">
                  <wp:simplePos x="0" y="0"/>
                  <wp:positionH relativeFrom="column">
                    <wp:posOffset>4777105</wp:posOffset>
                  </wp:positionH>
                  <wp:positionV relativeFrom="paragraph">
                    <wp:posOffset>61595</wp:posOffset>
                  </wp:positionV>
                  <wp:extent cx="1371600" cy="753110"/>
                  <wp:effectExtent l="2540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371600" cy="753110"/>
                          </a:xfrm>
                          <a:prstGeom prst="rect">
                            <a:avLst/>
                          </a:prstGeom>
                          <a:noFill/>
                          <a:ln w="9525">
                            <a:noFill/>
                            <a:miter lim="800000"/>
                            <a:headEnd/>
                            <a:tailEnd/>
                          </a:ln>
                        </pic:spPr>
                      </pic:pic>
                    </a:graphicData>
                  </a:graphic>
                </wp:anchor>
              </w:drawing>
            </w:r>
            <w:r w:rsidR="00EF7FDF">
              <w:rPr>
                <w:sz w:val="20"/>
                <w:u w:val="single"/>
              </w:rPr>
              <w:t xml:space="preserve">&gt; </w:t>
            </w:r>
            <w:r w:rsidR="00EF7FDF" w:rsidRPr="000D394E">
              <w:rPr>
                <w:sz w:val="20"/>
                <w:u w:val="single"/>
              </w:rPr>
              <w:t>Souches de levures </w:t>
            </w:r>
            <w:r>
              <w:rPr>
                <w:sz w:val="20"/>
              </w:rPr>
              <w:t xml:space="preserve">: souche tyralba1 : « normale ». </w:t>
            </w:r>
          </w:p>
          <w:p w:rsidR="00EF7FDF" w:rsidRDefault="00D7201D" w:rsidP="00037AB7">
            <w:pPr>
              <w:rPr>
                <w:sz w:val="20"/>
              </w:rPr>
            </w:pPr>
            <w:r>
              <w:rPr>
                <w:sz w:val="20"/>
              </w:rPr>
              <w:t>Souche tyralba2 « muté-rouge » et  Souche tyralba3</w:t>
            </w:r>
            <w:r w:rsidR="00EF7FDF">
              <w:rPr>
                <w:sz w:val="20"/>
              </w:rPr>
              <w:t xml:space="preserve"> « muté bleue »</w:t>
            </w:r>
          </w:p>
          <w:p w:rsidR="00EF7FDF" w:rsidRDefault="00EF7FDF" w:rsidP="00037AB7">
            <w:pPr>
              <w:rPr>
                <w:sz w:val="20"/>
              </w:rPr>
            </w:pPr>
            <w:r>
              <w:rPr>
                <w:sz w:val="20"/>
              </w:rPr>
              <w:t>&gt; Microscope optique pour observation + caméra numérique</w:t>
            </w:r>
          </w:p>
          <w:p w:rsidR="00EF7FDF" w:rsidRDefault="00EF7FDF" w:rsidP="00037AB7">
            <w:pPr>
              <w:rPr>
                <w:sz w:val="20"/>
              </w:rPr>
            </w:pPr>
            <w:r>
              <w:rPr>
                <w:sz w:val="20"/>
              </w:rPr>
              <w:t xml:space="preserve">&gt; Lame + lamelles, papier filtre, pipettes … pour la préparation microscopique. </w:t>
            </w:r>
          </w:p>
          <w:p w:rsidR="00EF7FDF" w:rsidRDefault="00EF7FDF" w:rsidP="00037AB7">
            <w:pPr>
              <w:rPr>
                <w:sz w:val="20"/>
              </w:rPr>
            </w:pPr>
            <w:r>
              <w:rPr>
                <w:sz w:val="20"/>
              </w:rPr>
              <w:t>&gt; Fiche technique « préparation d’une lame »</w:t>
            </w:r>
          </w:p>
          <w:p w:rsidR="00D7201D" w:rsidRDefault="00EF7FDF" w:rsidP="00037AB7">
            <w:pPr>
              <w:rPr>
                <w:sz w:val="20"/>
              </w:rPr>
            </w:pPr>
            <w:r>
              <w:rPr>
                <w:sz w:val="20"/>
              </w:rPr>
              <w:t xml:space="preserve">&gt; </w:t>
            </w:r>
            <w:r w:rsidR="00D7201D">
              <w:rPr>
                <w:sz w:val="20"/>
              </w:rPr>
              <w:t xml:space="preserve">Anagène + </w:t>
            </w:r>
            <w:r>
              <w:rPr>
                <w:sz w:val="20"/>
              </w:rPr>
              <w:t xml:space="preserve">Fiche technique « utilisation d’Anagène » </w:t>
            </w:r>
          </w:p>
          <w:p w:rsidR="003B75E9" w:rsidRDefault="00D7201D" w:rsidP="00037AB7">
            <w:pPr>
              <w:rPr>
                <w:sz w:val="20"/>
              </w:rPr>
            </w:pPr>
            <w:r>
              <w:rPr>
                <w:sz w:val="20"/>
              </w:rPr>
              <w:t xml:space="preserve">Séquences tyralba à charger depuis la banque d’Anagène. </w:t>
            </w:r>
          </w:p>
          <w:p w:rsidR="00EF7FDF" w:rsidRDefault="003B75E9" w:rsidP="00037AB7">
            <w:pPr>
              <w:rPr>
                <w:sz w:val="20"/>
              </w:rPr>
            </w:pPr>
            <w:r>
              <w:rPr>
                <w:sz w:val="20"/>
              </w:rPr>
              <w:t xml:space="preserve">&gt; Document annexe : les types de mutations. </w:t>
            </w:r>
          </w:p>
        </w:tc>
      </w:tr>
    </w:tbl>
    <w:p w:rsidR="00EF7FDF" w:rsidRPr="00037AB7" w:rsidRDefault="00EF7FDF" w:rsidP="00EF7FDF">
      <w:pPr>
        <w:rPr>
          <w:sz w:val="20"/>
        </w:rPr>
      </w:pPr>
    </w:p>
    <w:tbl>
      <w:tblPr>
        <w:tblStyle w:val="Grille"/>
        <w:tblW w:w="0" w:type="auto"/>
        <w:tblLook w:val="00BF"/>
      </w:tblPr>
      <w:tblGrid>
        <w:gridCol w:w="3635"/>
        <w:gridCol w:w="6254"/>
        <w:gridCol w:w="1017"/>
      </w:tblGrid>
      <w:tr w:rsidR="00EF7FDF">
        <w:tc>
          <w:tcPr>
            <w:tcW w:w="3635" w:type="dxa"/>
          </w:tcPr>
          <w:p w:rsidR="00EF7FDF" w:rsidRPr="00EF7FDF" w:rsidRDefault="00EF7FDF" w:rsidP="00D17B65">
            <w:pPr>
              <w:jc w:val="center"/>
              <w:rPr>
                <w:b/>
                <w:sz w:val="18"/>
              </w:rPr>
            </w:pPr>
            <w:r w:rsidRPr="00EF7FDF">
              <w:rPr>
                <w:b/>
                <w:sz w:val="18"/>
              </w:rPr>
              <w:t>Barème de correction</w:t>
            </w:r>
          </w:p>
        </w:tc>
        <w:tc>
          <w:tcPr>
            <w:tcW w:w="6254" w:type="dxa"/>
          </w:tcPr>
          <w:p w:rsidR="00EF7FDF" w:rsidRPr="00EF7FDF" w:rsidRDefault="00EF7FDF" w:rsidP="00D17B65">
            <w:pPr>
              <w:jc w:val="center"/>
              <w:rPr>
                <w:b/>
                <w:sz w:val="18"/>
              </w:rPr>
            </w:pPr>
            <w:r w:rsidRPr="00EF7FDF">
              <w:rPr>
                <w:b/>
                <w:sz w:val="18"/>
              </w:rPr>
              <w:t>Attente</w:t>
            </w:r>
          </w:p>
        </w:tc>
        <w:tc>
          <w:tcPr>
            <w:tcW w:w="1017" w:type="dxa"/>
          </w:tcPr>
          <w:p w:rsidR="00EF7FDF" w:rsidRPr="00EF7FDF" w:rsidRDefault="00EF7FDF" w:rsidP="00D17B65">
            <w:pPr>
              <w:jc w:val="center"/>
              <w:rPr>
                <w:b/>
                <w:sz w:val="18"/>
              </w:rPr>
            </w:pPr>
            <w:r w:rsidRPr="00EF7FDF">
              <w:rPr>
                <w:b/>
                <w:sz w:val="18"/>
              </w:rPr>
              <w:t>points</w:t>
            </w:r>
          </w:p>
        </w:tc>
      </w:tr>
      <w:tr w:rsidR="00EF7FDF">
        <w:tc>
          <w:tcPr>
            <w:tcW w:w="3635" w:type="dxa"/>
          </w:tcPr>
          <w:p w:rsidR="00EF7FDF" w:rsidRPr="00EF7FDF" w:rsidRDefault="00EF7FDF">
            <w:pPr>
              <w:rPr>
                <w:sz w:val="18"/>
                <w:u w:val="single"/>
              </w:rPr>
            </w:pPr>
            <w:r w:rsidRPr="00EF7FDF">
              <w:rPr>
                <w:sz w:val="18"/>
                <w:u w:val="single"/>
              </w:rPr>
              <w:t xml:space="preserve">Compétences pratiques/techniques : </w:t>
            </w:r>
          </w:p>
          <w:p w:rsidR="00EF7FDF" w:rsidRPr="00EF7FDF" w:rsidRDefault="00EF7FDF">
            <w:pPr>
              <w:rPr>
                <w:sz w:val="18"/>
              </w:rPr>
            </w:pPr>
            <w:r w:rsidRPr="00EF7FDF">
              <w:rPr>
                <w:sz w:val="18"/>
              </w:rPr>
              <w:t>- Préparation microscopique</w:t>
            </w:r>
          </w:p>
          <w:p w:rsidR="00EF7FDF" w:rsidRPr="00EF7FDF" w:rsidRDefault="00EF7FDF">
            <w:pPr>
              <w:rPr>
                <w:sz w:val="18"/>
              </w:rPr>
            </w:pPr>
            <w:r w:rsidRPr="00EF7FDF">
              <w:rPr>
                <w:sz w:val="18"/>
              </w:rPr>
              <w:t>- Observation microscopique</w:t>
            </w:r>
          </w:p>
          <w:p w:rsidR="00EF7FDF" w:rsidRPr="00EF7FDF" w:rsidRDefault="00EF7FDF">
            <w:pPr>
              <w:rPr>
                <w:sz w:val="18"/>
              </w:rPr>
            </w:pPr>
          </w:p>
          <w:p w:rsidR="00EF7FDF" w:rsidRPr="00EF7FDF" w:rsidRDefault="00EF7FDF">
            <w:pPr>
              <w:rPr>
                <w:sz w:val="18"/>
              </w:rPr>
            </w:pPr>
            <w:r w:rsidRPr="00EF7FDF">
              <w:rPr>
                <w:sz w:val="18"/>
              </w:rPr>
              <w:t>- Prise/traitement  de photo numérique</w:t>
            </w:r>
          </w:p>
          <w:p w:rsidR="00EF7FDF" w:rsidRPr="00EF7FDF" w:rsidRDefault="00EF7FDF">
            <w:pPr>
              <w:rPr>
                <w:sz w:val="18"/>
              </w:rPr>
            </w:pPr>
          </w:p>
          <w:p w:rsidR="00EF7FDF" w:rsidRPr="00EF7FDF" w:rsidRDefault="00EF7FDF">
            <w:pPr>
              <w:rPr>
                <w:sz w:val="18"/>
              </w:rPr>
            </w:pPr>
            <w:r w:rsidRPr="00EF7FDF">
              <w:rPr>
                <w:sz w:val="18"/>
              </w:rPr>
              <w:t>- Utilisation d’Anagène</w:t>
            </w:r>
          </w:p>
        </w:tc>
        <w:tc>
          <w:tcPr>
            <w:tcW w:w="6254" w:type="dxa"/>
          </w:tcPr>
          <w:p w:rsidR="00EF7FDF" w:rsidRPr="00EF7FDF" w:rsidRDefault="00EF7FDF">
            <w:pPr>
              <w:rPr>
                <w:sz w:val="18"/>
              </w:rPr>
            </w:pPr>
          </w:p>
          <w:p w:rsidR="00EF7FDF" w:rsidRPr="00EF7FDF" w:rsidRDefault="00EF7FDF">
            <w:pPr>
              <w:rPr>
                <w:sz w:val="18"/>
              </w:rPr>
            </w:pPr>
            <w:r w:rsidRPr="00EF7FDF">
              <w:rPr>
                <w:sz w:val="18"/>
              </w:rPr>
              <w:t>- Dépôts sur lame sans débordement (voir protocole)</w:t>
            </w:r>
          </w:p>
          <w:p w:rsidR="00EF7FDF" w:rsidRPr="00EF7FDF" w:rsidRDefault="00EF7FDF">
            <w:pPr>
              <w:rPr>
                <w:sz w:val="18"/>
              </w:rPr>
            </w:pPr>
            <w:r w:rsidRPr="00EF7FDF">
              <w:rPr>
                <w:sz w:val="18"/>
              </w:rPr>
              <w:t>- Réglage lumière (diaphragme et variateur), choix grossissement adapté.</w:t>
            </w:r>
          </w:p>
          <w:p w:rsidR="00EF7FDF" w:rsidRPr="00EF7FDF" w:rsidRDefault="00EF7FDF">
            <w:pPr>
              <w:rPr>
                <w:sz w:val="18"/>
              </w:rPr>
            </w:pPr>
            <w:r w:rsidRPr="00EF7FDF">
              <w:rPr>
                <w:sz w:val="18"/>
              </w:rPr>
              <w:t>- Photo + légendes + titre (attention impression noir/blanc : indiquer les couleurs sur photo)</w:t>
            </w:r>
          </w:p>
          <w:p w:rsidR="00EF7FDF" w:rsidRPr="00EF7FDF" w:rsidRDefault="00EF7FDF">
            <w:pPr>
              <w:rPr>
                <w:sz w:val="18"/>
              </w:rPr>
            </w:pPr>
            <w:r w:rsidRPr="00EF7FDF">
              <w:rPr>
                <w:sz w:val="18"/>
              </w:rPr>
              <w:t>- Comparaison des séquences + capture écran</w:t>
            </w:r>
          </w:p>
        </w:tc>
        <w:tc>
          <w:tcPr>
            <w:tcW w:w="1017" w:type="dxa"/>
          </w:tcPr>
          <w:p w:rsidR="00EF7FDF" w:rsidRPr="00EF7FDF" w:rsidRDefault="00EF7FDF">
            <w:pPr>
              <w:rPr>
                <w:sz w:val="18"/>
              </w:rPr>
            </w:pPr>
          </w:p>
          <w:p w:rsidR="00EF7FDF" w:rsidRPr="00EF7FDF" w:rsidRDefault="00EF7FDF">
            <w:pPr>
              <w:rPr>
                <w:sz w:val="18"/>
              </w:rPr>
            </w:pPr>
            <w:r w:rsidRPr="00EF7FDF">
              <w:rPr>
                <w:sz w:val="18"/>
              </w:rPr>
              <w:t>2</w:t>
            </w:r>
          </w:p>
          <w:p w:rsidR="00EF7FDF" w:rsidRPr="00EF7FDF" w:rsidRDefault="00EF7FDF">
            <w:pPr>
              <w:rPr>
                <w:sz w:val="18"/>
              </w:rPr>
            </w:pPr>
            <w:r w:rsidRPr="00EF7FDF">
              <w:rPr>
                <w:sz w:val="18"/>
              </w:rPr>
              <w:t>1</w:t>
            </w:r>
          </w:p>
          <w:p w:rsidR="00EF7FDF" w:rsidRPr="00EF7FDF" w:rsidRDefault="00EF7FDF">
            <w:pPr>
              <w:rPr>
                <w:sz w:val="18"/>
              </w:rPr>
            </w:pPr>
          </w:p>
          <w:p w:rsidR="00EF7FDF" w:rsidRPr="00EF7FDF" w:rsidRDefault="00EF7FDF">
            <w:pPr>
              <w:rPr>
                <w:sz w:val="18"/>
              </w:rPr>
            </w:pPr>
            <w:r w:rsidRPr="00EF7FDF">
              <w:rPr>
                <w:sz w:val="18"/>
              </w:rPr>
              <w:t>2</w:t>
            </w:r>
          </w:p>
          <w:p w:rsidR="00EF7FDF" w:rsidRPr="00EF7FDF" w:rsidRDefault="00EF7FDF">
            <w:pPr>
              <w:rPr>
                <w:sz w:val="18"/>
              </w:rPr>
            </w:pPr>
          </w:p>
          <w:p w:rsidR="00EF7FDF" w:rsidRPr="00EF7FDF" w:rsidRDefault="00EF7FDF">
            <w:pPr>
              <w:rPr>
                <w:sz w:val="18"/>
              </w:rPr>
            </w:pPr>
            <w:r w:rsidRPr="00EF7FDF">
              <w:rPr>
                <w:sz w:val="18"/>
              </w:rPr>
              <w:t>2</w:t>
            </w:r>
          </w:p>
        </w:tc>
      </w:tr>
      <w:tr w:rsidR="00EF7FDF">
        <w:tc>
          <w:tcPr>
            <w:tcW w:w="3635" w:type="dxa"/>
          </w:tcPr>
          <w:p w:rsidR="00EF7FDF" w:rsidRPr="00EF7FDF" w:rsidRDefault="00EF7FDF">
            <w:pPr>
              <w:rPr>
                <w:sz w:val="18"/>
              </w:rPr>
            </w:pPr>
            <w:r w:rsidRPr="00EF7FDF">
              <w:rPr>
                <w:sz w:val="18"/>
              </w:rPr>
              <w:t>Raisonnement / Communication</w:t>
            </w:r>
          </w:p>
        </w:tc>
        <w:tc>
          <w:tcPr>
            <w:tcW w:w="6254" w:type="dxa"/>
          </w:tcPr>
          <w:p w:rsidR="00EF7FDF" w:rsidRPr="00EF7FDF" w:rsidRDefault="00EF7FDF">
            <w:pPr>
              <w:rPr>
                <w:sz w:val="18"/>
              </w:rPr>
            </w:pPr>
            <w:r w:rsidRPr="00EF7FDF">
              <w:rPr>
                <w:sz w:val="18"/>
              </w:rPr>
              <w:t>Répondre à la question en prenant appui sur l’analyse de vos documents Qualité de</w:t>
            </w:r>
            <w:r w:rsidR="00150BED">
              <w:rPr>
                <w:sz w:val="18"/>
              </w:rPr>
              <w:t xml:space="preserve">s illustrations, tableau et  texte. </w:t>
            </w:r>
          </w:p>
        </w:tc>
        <w:tc>
          <w:tcPr>
            <w:tcW w:w="1017" w:type="dxa"/>
          </w:tcPr>
          <w:p w:rsidR="00EF7FDF" w:rsidRPr="00EF7FDF" w:rsidRDefault="00EF7FDF">
            <w:pPr>
              <w:rPr>
                <w:sz w:val="18"/>
              </w:rPr>
            </w:pPr>
            <w:r w:rsidRPr="00EF7FDF">
              <w:rPr>
                <w:sz w:val="18"/>
              </w:rPr>
              <w:t>5</w:t>
            </w:r>
          </w:p>
          <w:p w:rsidR="00EF7FDF" w:rsidRPr="00EF7FDF" w:rsidRDefault="00EF7FDF">
            <w:pPr>
              <w:rPr>
                <w:sz w:val="18"/>
              </w:rPr>
            </w:pPr>
            <w:r w:rsidRPr="00EF7FDF">
              <w:rPr>
                <w:sz w:val="18"/>
              </w:rPr>
              <w:t>3</w:t>
            </w:r>
          </w:p>
        </w:tc>
      </w:tr>
    </w:tbl>
    <w:p w:rsidR="003B75E9" w:rsidRDefault="003B75E9" w:rsidP="003B75E9">
      <w:pPr>
        <w:rPr>
          <w:sz w:val="20"/>
        </w:rPr>
      </w:pPr>
    </w:p>
    <w:p w:rsidR="003B75E9" w:rsidRPr="003B75E9" w:rsidRDefault="003B75E9" w:rsidP="003B75E9">
      <w:pPr>
        <w:rPr>
          <w:u w:val="single"/>
        </w:rPr>
      </w:pPr>
      <w:r w:rsidRPr="003B75E9">
        <w:rPr>
          <w:sz w:val="20"/>
          <w:u w:val="single"/>
        </w:rPr>
        <w:t>&gt; Document annexe : les types de mutations.</w:t>
      </w:r>
    </w:p>
    <w:p w:rsidR="00150BED" w:rsidRDefault="003B75E9" w:rsidP="00EF7FDF">
      <w:r>
        <w:rPr>
          <w:rFonts w:cs="Arial"/>
          <w:noProof/>
          <w:sz w:val="20"/>
          <w:szCs w:val="22"/>
          <w:lang w:eastAsia="fr-FR"/>
        </w:rPr>
        <w:drawing>
          <wp:inline distT="0" distB="0" distL="0" distR="0">
            <wp:extent cx="6836410" cy="4263894"/>
            <wp:effectExtent l="2540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836410" cy="4263894"/>
                    </a:xfrm>
                    <a:prstGeom prst="rect">
                      <a:avLst/>
                    </a:prstGeom>
                    <a:solidFill>
                      <a:srgbClr val="000000"/>
                    </a:solidFill>
                    <a:ln w="9525">
                      <a:noFill/>
                      <a:miter lim="800000"/>
                      <a:headEnd/>
                      <a:tailEnd/>
                    </a:ln>
                  </pic:spPr>
                </pic:pic>
              </a:graphicData>
            </a:graphic>
          </wp:inline>
        </w:drawing>
      </w:r>
    </w:p>
    <w:p w:rsidR="00150BED" w:rsidRDefault="00150BED" w:rsidP="00EF7FDF"/>
    <w:p w:rsidR="00150BED" w:rsidRPr="00150BED" w:rsidRDefault="00150BED" w:rsidP="00150BED">
      <w:pPr>
        <w:tabs>
          <w:tab w:val="left" w:pos="1800"/>
        </w:tabs>
        <w:rPr>
          <w:b/>
        </w:rPr>
      </w:pPr>
      <w:r w:rsidRPr="00150BED">
        <w:rPr>
          <w:b/>
          <w:u w:val="single"/>
        </w:rPr>
        <w:t>Fiche labo</w:t>
      </w:r>
      <w:r w:rsidR="003B75E9">
        <w:rPr>
          <w:b/>
          <w:u w:val="single"/>
        </w:rPr>
        <w:t>ratoire</w:t>
      </w:r>
      <w:r w:rsidRPr="00150BED">
        <w:rPr>
          <w:b/>
          <w:u w:val="single"/>
        </w:rPr>
        <w:t> :</w:t>
      </w:r>
      <w:r w:rsidRPr="00150BED">
        <w:rPr>
          <w:b/>
        </w:rPr>
        <w:tab/>
        <w:t xml:space="preserve"> </w:t>
      </w:r>
    </w:p>
    <w:p w:rsidR="00150BED" w:rsidRDefault="00150BED" w:rsidP="00EF7FDF">
      <w:r>
        <w:t>Réaliser trois solutions de levures à 20g/L</w:t>
      </w:r>
    </w:p>
    <w:p w:rsidR="00150BED" w:rsidRDefault="00150BED" w:rsidP="00EF7FDF">
      <w:r>
        <w:t>Solution 1 notée « normale »</w:t>
      </w:r>
    </w:p>
    <w:p w:rsidR="00150BED" w:rsidRDefault="00150BED" w:rsidP="00EF7FDF">
      <w:r>
        <w:t>Solution 2 placée dans une solution de rouge neutre 12 H, notée « mutée rouge »</w:t>
      </w:r>
    </w:p>
    <w:p w:rsidR="00150BED" w:rsidRDefault="00150BED" w:rsidP="00EF7FDF">
      <w:r>
        <w:t xml:space="preserve">Solution 3 placée dans une solution de bleu de méthylène 12 H, notée « mutée bleue » </w:t>
      </w:r>
    </w:p>
    <w:p w:rsidR="00150BED" w:rsidRPr="00150BED" w:rsidRDefault="00150BED" w:rsidP="00EF7FDF">
      <w:pPr>
        <w:rPr>
          <w:b/>
          <w:u w:val="single"/>
        </w:rPr>
      </w:pPr>
      <w:r w:rsidRPr="00150BED">
        <w:rPr>
          <w:b/>
          <w:u w:val="single"/>
        </w:rPr>
        <w:t xml:space="preserve">Commentaires : </w:t>
      </w:r>
    </w:p>
    <w:p w:rsidR="003B75E9" w:rsidRDefault="00150BED" w:rsidP="003B75E9">
      <w:r>
        <w:t>En imaginant ces solutions « mutées » de substitution, le coût de cette manip est  réduit</w:t>
      </w:r>
    </w:p>
    <w:p w:rsidR="003B75E9" w:rsidRDefault="003B75E9" w:rsidP="003B75E9">
      <w:pPr>
        <w:rPr>
          <w:sz w:val="20"/>
        </w:rPr>
      </w:pPr>
      <w:r>
        <w:t xml:space="preserve">A fin de simplifier le TP, la génétique des différentes </w:t>
      </w:r>
      <w:r w:rsidRPr="000D394E">
        <w:rPr>
          <w:sz w:val="20"/>
          <w:u w:val="single"/>
        </w:rPr>
        <w:t>Souches de levures </w:t>
      </w:r>
      <w:r>
        <w:rPr>
          <w:sz w:val="20"/>
        </w:rPr>
        <w:t xml:space="preserve">: souche tyralba1 : « normale ». </w:t>
      </w:r>
    </w:p>
    <w:p w:rsidR="003B75E9" w:rsidRDefault="003B75E9" w:rsidP="003B75E9">
      <w:pPr>
        <w:rPr>
          <w:sz w:val="20"/>
        </w:rPr>
      </w:pPr>
      <w:r>
        <w:rPr>
          <w:sz w:val="20"/>
        </w:rPr>
        <w:t>Souche tyralba2 « muté-rouge » et  Souche tyralba3 « muté bleue » ont été prises dans la banque de données ANAGENE.</w:t>
      </w:r>
    </w:p>
    <w:p w:rsidR="003B75E9" w:rsidRDefault="003B75E9" w:rsidP="003B75E9">
      <w:pPr>
        <w:rPr>
          <w:sz w:val="20"/>
        </w:rPr>
      </w:pPr>
      <w:r>
        <w:rPr>
          <w:sz w:val="20"/>
        </w:rPr>
        <w:t xml:space="preserve">Il est cependant possible de créer directement ses propres séquences à partir des fonctionnalités du logiciel. </w:t>
      </w:r>
    </w:p>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3B75E9" w:rsidRDefault="003B75E9" w:rsidP="00EF7FDF"/>
    <w:p w:rsidR="00150BED" w:rsidRDefault="00150BED" w:rsidP="00EF7FDF"/>
    <w:p w:rsidR="00150BED" w:rsidRPr="00150BED" w:rsidRDefault="00150BED" w:rsidP="00EF7FDF">
      <w:pPr>
        <w:rPr>
          <w:b/>
          <w:u w:val="single"/>
        </w:rPr>
      </w:pPr>
      <w:r w:rsidRPr="00150BED">
        <w:rPr>
          <w:b/>
          <w:u w:val="single"/>
        </w:rPr>
        <w:t>Copie d’élève 1</w:t>
      </w:r>
    </w:p>
    <w:p w:rsidR="00150BED" w:rsidRDefault="00150BED" w:rsidP="00EF7FDF">
      <w:r>
        <w:rPr>
          <w:noProof/>
          <w:lang w:eastAsia="fr-FR"/>
        </w:rPr>
        <w:drawing>
          <wp:anchor distT="0" distB="0" distL="114300" distR="114300" simplePos="0" relativeHeight="251663360" behindDoc="0" locked="0" layoutInCell="1" allowOverlap="1">
            <wp:simplePos x="0" y="0"/>
            <wp:positionH relativeFrom="column">
              <wp:posOffset>1146470</wp:posOffset>
            </wp:positionH>
            <wp:positionV relativeFrom="paragraph">
              <wp:posOffset>-914061</wp:posOffset>
            </wp:positionV>
            <wp:extent cx="4567873" cy="6404248"/>
            <wp:effectExtent l="939800" t="0" r="918527"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 cstate="print"/>
                    <a:srcRect/>
                    <a:stretch>
                      <a:fillRect/>
                    </a:stretch>
                  </pic:blipFill>
                  <pic:spPr bwMode="auto">
                    <a:xfrm rot="16200000">
                      <a:off x="0" y="0"/>
                      <a:ext cx="4567873" cy="6404248"/>
                    </a:xfrm>
                    <a:prstGeom prst="rect">
                      <a:avLst/>
                    </a:prstGeom>
                    <a:noFill/>
                    <a:ln w="9525">
                      <a:noFill/>
                      <a:miter lim="800000"/>
                      <a:headEnd/>
                      <a:tailEnd/>
                    </a:ln>
                  </pic:spPr>
                </pic:pic>
              </a:graphicData>
            </a:graphic>
          </wp:anchor>
        </w:drawing>
      </w:r>
    </w:p>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r>
        <w:rPr>
          <w:noProof/>
          <w:lang w:eastAsia="fr-FR"/>
        </w:rPr>
        <w:drawing>
          <wp:anchor distT="0" distB="0" distL="114300" distR="114300" simplePos="0" relativeHeight="251662336" behindDoc="0" locked="0" layoutInCell="1" allowOverlap="1">
            <wp:simplePos x="0" y="0"/>
            <wp:positionH relativeFrom="column">
              <wp:posOffset>1140460</wp:posOffset>
            </wp:positionH>
            <wp:positionV relativeFrom="paragraph">
              <wp:posOffset>12065</wp:posOffset>
            </wp:positionV>
            <wp:extent cx="4550410" cy="6366510"/>
            <wp:effectExtent l="939800" t="0" r="910590" b="0"/>
            <wp:wrapNone/>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cstate="print"/>
                    <a:srcRect/>
                    <a:stretch>
                      <a:fillRect/>
                    </a:stretch>
                  </pic:blipFill>
                  <pic:spPr bwMode="auto">
                    <a:xfrm rot="16200000">
                      <a:off x="0" y="0"/>
                      <a:ext cx="4550410" cy="6366510"/>
                    </a:xfrm>
                    <a:prstGeom prst="rect">
                      <a:avLst/>
                    </a:prstGeom>
                    <a:noFill/>
                    <a:ln w="9525">
                      <a:noFill/>
                      <a:miter lim="800000"/>
                      <a:headEnd/>
                      <a:tailEnd/>
                    </a:ln>
                  </pic:spPr>
                </pic:pic>
              </a:graphicData>
            </a:graphic>
          </wp:anchor>
        </w:drawing>
      </w:r>
    </w:p>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r>
        <w:rPr>
          <w:noProof/>
          <w:lang w:eastAsia="fr-FR"/>
        </w:rPr>
        <w:drawing>
          <wp:anchor distT="0" distB="0" distL="114300" distR="114300" simplePos="0" relativeHeight="251665408" behindDoc="0" locked="0" layoutInCell="1" allowOverlap="1">
            <wp:simplePos x="0" y="0"/>
            <wp:positionH relativeFrom="column">
              <wp:posOffset>904240</wp:posOffset>
            </wp:positionH>
            <wp:positionV relativeFrom="paragraph">
              <wp:posOffset>-675640</wp:posOffset>
            </wp:positionV>
            <wp:extent cx="4732020" cy="6084570"/>
            <wp:effectExtent l="711200" t="0" r="678180" b="0"/>
            <wp:wrapNone/>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cstate="print"/>
                    <a:srcRect/>
                    <a:stretch>
                      <a:fillRect/>
                    </a:stretch>
                  </pic:blipFill>
                  <pic:spPr bwMode="auto">
                    <a:xfrm rot="16200000">
                      <a:off x="0" y="0"/>
                      <a:ext cx="4732020" cy="6084570"/>
                    </a:xfrm>
                    <a:prstGeom prst="rect">
                      <a:avLst/>
                    </a:prstGeom>
                    <a:noFill/>
                    <a:ln w="9525">
                      <a:noFill/>
                      <a:miter lim="800000"/>
                      <a:headEnd/>
                      <a:tailEnd/>
                    </a:ln>
                  </pic:spPr>
                </pic:pic>
              </a:graphicData>
            </a:graphic>
          </wp:anchor>
        </w:drawing>
      </w:r>
    </w:p>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r>
        <w:rPr>
          <w:noProof/>
          <w:lang w:eastAsia="fr-FR"/>
        </w:rPr>
        <w:drawing>
          <wp:anchor distT="0" distB="0" distL="114300" distR="114300" simplePos="0" relativeHeight="251664384" behindDoc="0" locked="0" layoutInCell="1" allowOverlap="1">
            <wp:simplePos x="0" y="0"/>
            <wp:positionH relativeFrom="column">
              <wp:posOffset>1215692</wp:posOffset>
            </wp:positionH>
            <wp:positionV relativeFrom="paragraph">
              <wp:posOffset>21922</wp:posOffset>
            </wp:positionV>
            <wp:extent cx="4422171" cy="6396355"/>
            <wp:effectExtent l="1016000" t="0" r="988029" b="0"/>
            <wp:wrapNone/>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cstate="print"/>
                    <a:srcRect/>
                    <a:stretch>
                      <a:fillRect/>
                    </a:stretch>
                  </pic:blipFill>
                  <pic:spPr bwMode="auto">
                    <a:xfrm rot="16200000">
                      <a:off x="0" y="0"/>
                      <a:ext cx="4422171" cy="6396355"/>
                    </a:xfrm>
                    <a:prstGeom prst="rect">
                      <a:avLst/>
                    </a:prstGeom>
                    <a:noFill/>
                    <a:ln w="9525">
                      <a:noFill/>
                      <a:miter lim="800000"/>
                      <a:headEnd/>
                      <a:tailEnd/>
                    </a:ln>
                  </pic:spPr>
                </pic:pic>
              </a:graphicData>
            </a:graphic>
          </wp:anchor>
        </w:drawing>
      </w:r>
    </w:p>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150BED" w:rsidRDefault="00150BED" w:rsidP="00EF7FDF"/>
    <w:p w:rsidR="00037694" w:rsidRDefault="00037694">
      <w:pPr>
        <w:rPr>
          <w:rFonts w:asciiTheme="minorHAnsi" w:eastAsiaTheme="minorHAnsi" w:hAnsiTheme="minorHAnsi" w:cstheme="minorBidi"/>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9"/>
        <w:gridCol w:w="3686"/>
        <w:gridCol w:w="5487"/>
      </w:tblGrid>
      <w:tr w:rsidR="00037694" w:rsidRPr="00AB5FF1">
        <w:trPr>
          <w:jc w:val="center"/>
        </w:trPr>
        <w:tc>
          <w:tcPr>
            <w:tcW w:w="1809" w:type="dxa"/>
          </w:tcPr>
          <w:p w:rsidR="00037694" w:rsidRPr="00AB5FF1" w:rsidRDefault="00037694" w:rsidP="00037AB7">
            <w:pPr>
              <w:jc w:val="center"/>
              <w:rPr>
                <w:b/>
              </w:rPr>
            </w:pPr>
            <w:r w:rsidRPr="00AB5FF1">
              <w:rPr>
                <w:b/>
              </w:rPr>
              <w:t>2</w:t>
            </w:r>
            <w:r w:rsidRPr="00AB5FF1">
              <w:rPr>
                <w:b/>
                <w:vertAlign w:val="superscript"/>
              </w:rPr>
              <w:t>nde</w:t>
            </w:r>
          </w:p>
          <w:p w:rsidR="00037694" w:rsidRPr="00AB5FF1" w:rsidRDefault="003B75E9" w:rsidP="00037AB7">
            <w:pPr>
              <w:jc w:val="center"/>
              <w:rPr>
                <w:b/>
              </w:rPr>
            </w:pPr>
            <w:r>
              <w:rPr>
                <w:b/>
              </w:rPr>
              <w:t xml:space="preserve">Eléments de </w:t>
            </w:r>
            <w:r w:rsidR="00037694" w:rsidRPr="00AB5FF1">
              <w:rPr>
                <w:b/>
              </w:rPr>
              <w:t>COR</w:t>
            </w:r>
            <w:r>
              <w:rPr>
                <w:b/>
              </w:rPr>
              <w:t>RECTION</w:t>
            </w:r>
          </w:p>
        </w:tc>
        <w:tc>
          <w:tcPr>
            <w:tcW w:w="3686" w:type="dxa"/>
          </w:tcPr>
          <w:p w:rsidR="00037694" w:rsidRPr="00AB5FF1" w:rsidRDefault="00037694" w:rsidP="00037AB7">
            <w:pPr>
              <w:rPr>
                <w:b/>
              </w:rPr>
            </w:pPr>
            <w:r w:rsidRPr="00AB5FF1">
              <w:t xml:space="preserve"> &gt;  L'unité chimique du vivant &gt;</w:t>
            </w:r>
            <w:r w:rsidRPr="00AB5FF1">
              <w:rPr>
                <w:bCs/>
                <w:szCs w:val="18"/>
              </w:rPr>
              <w:t xml:space="preserve"> </w:t>
            </w:r>
            <w:r w:rsidRPr="00AB5FF1">
              <w:rPr>
                <w:b/>
                <w:bCs/>
                <w:szCs w:val="18"/>
              </w:rPr>
              <w:t>L’ADN est une molécule informative</w:t>
            </w:r>
          </w:p>
        </w:tc>
        <w:tc>
          <w:tcPr>
            <w:tcW w:w="5487" w:type="dxa"/>
          </w:tcPr>
          <w:p w:rsidR="00037694" w:rsidRPr="00AB5FF1" w:rsidRDefault="00037694" w:rsidP="00037694">
            <w:r w:rsidRPr="00AB5FF1">
              <w:rPr>
                <w:b/>
                <w:i/>
              </w:rPr>
              <w:t>Compétences </w:t>
            </w:r>
            <w:r w:rsidRPr="00AB5FF1">
              <w:rPr>
                <w:i/>
              </w:rPr>
              <w:t>:</w:t>
            </w:r>
            <w:r w:rsidRPr="00AB5FF1">
              <w:rPr>
                <w:b/>
                <w:i/>
              </w:rPr>
              <w:t xml:space="preserve"> </w:t>
            </w:r>
            <w:r w:rsidRPr="00AB5FF1">
              <w:t xml:space="preserve">réaliser une préparation microscopique/ utilisation microscope/ anagène/ raisonner / communiquer/ </w:t>
            </w:r>
          </w:p>
        </w:tc>
      </w:tr>
    </w:tbl>
    <w:p w:rsidR="00037694" w:rsidRPr="00AB5FF1" w:rsidRDefault="00037694">
      <w:pPr>
        <w:rPr>
          <w:rFonts w:eastAsiaTheme="minorHAnsi" w:cstheme="minorBidi"/>
        </w:rPr>
      </w:pPr>
      <w:r w:rsidRPr="00AB5FF1">
        <w:rPr>
          <w:rFonts w:eastAsiaTheme="minorHAnsi" w:cstheme="minorBidi"/>
          <w:u w:val="single"/>
        </w:rPr>
        <w:t>Introduction </w:t>
      </w:r>
      <w:r w:rsidRPr="00AB5FF1">
        <w:rPr>
          <w:rFonts w:eastAsiaTheme="minorHAnsi" w:cstheme="minorBidi"/>
        </w:rPr>
        <w:t xml:space="preserve">: travaillant dans un laboratoire, il s’agit d’expliquer l’origine génétique de l’existence de plusieurs couleurs chez les levures. Après une observation microscopique de ces types de levures, nous comparerons les séquences génétiques des allèles du gène à l’origine de la couleur des levures. </w:t>
      </w:r>
    </w:p>
    <w:p w:rsidR="00037694" w:rsidRPr="00AB5FF1" w:rsidRDefault="00037694">
      <w:pPr>
        <w:rPr>
          <w:rFonts w:eastAsiaTheme="minorHAnsi" w:cstheme="minorBidi"/>
          <w:u w:val="single"/>
        </w:rPr>
      </w:pPr>
      <w:r w:rsidRPr="00AB5FF1">
        <w:rPr>
          <w:rFonts w:eastAsiaTheme="minorHAnsi" w:cstheme="minorBidi"/>
          <w:u w:val="single"/>
        </w:rPr>
        <w:t>Préparation microscopiques et Observation des types de levures :</w:t>
      </w:r>
    </w:p>
    <w:p w:rsidR="00037694" w:rsidRPr="00AB5FF1" w:rsidRDefault="00037694">
      <w:pPr>
        <w:rPr>
          <w:rFonts w:eastAsiaTheme="minorHAnsi" w:cstheme="minorBidi"/>
        </w:rPr>
      </w:pPr>
      <w:r w:rsidRPr="00AB5FF1">
        <w:rPr>
          <w:rFonts w:eastAsiaTheme="minorHAnsi" w:cstheme="minorBidi"/>
        </w:rPr>
        <w:t>&gt;&gt; Ne pas oublier les titres et les grossissement</w:t>
      </w:r>
      <w:r w:rsidR="00CD10F6">
        <w:rPr>
          <w:rFonts w:eastAsiaTheme="minorHAnsi" w:cstheme="minorBidi"/>
        </w:rPr>
        <w:t>s</w:t>
      </w:r>
    </w:p>
    <w:p w:rsidR="00037694" w:rsidRPr="00AB5FF1" w:rsidRDefault="00037694">
      <w:pPr>
        <w:rPr>
          <w:rFonts w:eastAsiaTheme="minorHAnsi" w:cstheme="minorBidi"/>
        </w:rPr>
      </w:pPr>
      <w:r w:rsidRPr="00AB5FF1">
        <w:rPr>
          <w:rFonts w:eastAsiaTheme="minorHAnsi" w:cstheme="minorBidi"/>
        </w:rPr>
        <w:t>&gt;&gt; Exemple d’illustrations de vos camarades :</w:t>
      </w:r>
    </w:p>
    <w:p w:rsidR="00037694" w:rsidRPr="00AB5FF1" w:rsidRDefault="00037694">
      <w:pPr>
        <w:rPr>
          <w:rFonts w:eastAsiaTheme="minorHAnsi" w:cstheme="minorBidi"/>
        </w:rPr>
      </w:pPr>
      <w:r w:rsidRPr="00AB5FF1">
        <w:rPr>
          <w:rFonts w:eastAsiaTheme="minorHAnsi" w:cstheme="minorBidi"/>
          <w:noProof/>
          <w:lang w:eastAsia="fr-FR"/>
        </w:rPr>
        <w:drawing>
          <wp:anchor distT="0" distB="0" distL="114300" distR="114300" simplePos="0" relativeHeight="251661312" behindDoc="0" locked="0" layoutInCell="1" allowOverlap="1">
            <wp:simplePos x="0" y="0"/>
            <wp:positionH relativeFrom="column">
              <wp:posOffset>3200400</wp:posOffset>
            </wp:positionH>
            <wp:positionV relativeFrom="paragraph">
              <wp:posOffset>44450</wp:posOffset>
            </wp:positionV>
            <wp:extent cx="998855" cy="965200"/>
            <wp:effectExtent l="2540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98855" cy="965200"/>
                    </a:xfrm>
                    <a:prstGeom prst="rect">
                      <a:avLst/>
                    </a:prstGeom>
                    <a:noFill/>
                    <a:ln w="9525">
                      <a:noFill/>
                      <a:miter lim="800000"/>
                      <a:headEnd/>
                      <a:tailEnd/>
                    </a:ln>
                  </pic:spPr>
                </pic:pic>
              </a:graphicData>
            </a:graphic>
          </wp:anchor>
        </w:drawing>
      </w:r>
      <w:r w:rsidRPr="00AB5FF1">
        <w:rPr>
          <w:rFonts w:eastAsiaTheme="minorHAnsi" w:cstheme="minorBidi"/>
          <w:noProof/>
          <w:lang w:eastAsia="fr-FR"/>
        </w:rPr>
        <w:drawing>
          <wp:inline distT="0" distB="0" distL="0" distR="0">
            <wp:extent cx="2713778" cy="1218948"/>
            <wp:effectExtent l="25400" t="0" r="4022"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14022" cy="1219058"/>
                    </a:xfrm>
                    <a:prstGeom prst="rect">
                      <a:avLst/>
                    </a:prstGeom>
                    <a:noFill/>
                    <a:ln w="9525">
                      <a:noFill/>
                      <a:miter lim="800000"/>
                      <a:headEnd/>
                      <a:tailEnd/>
                    </a:ln>
                  </pic:spPr>
                </pic:pic>
              </a:graphicData>
            </a:graphic>
          </wp:inline>
        </w:drawing>
      </w:r>
    </w:p>
    <w:p w:rsidR="00037694" w:rsidRPr="00AB5FF1" w:rsidRDefault="00037694">
      <w:pPr>
        <w:rPr>
          <w:rFonts w:eastAsiaTheme="minorHAnsi" w:cstheme="minorBidi"/>
        </w:rPr>
      </w:pPr>
      <w:r w:rsidRPr="00AB5FF1">
        <w:rPr>
          <w:rFonts w:eastAsiaTheme="minorHAnsi" w:cstheme="minorBidi"/>
          <w:u w:val="single"/>
        </w:rPr>
        <w:t>Photos numériques des 3 souches de levures : TYRALBA 1 « norm</w:t>
      </w:r>
      <w:r w:rsidR="00AB5FF1" w:rsidRPr="00AB5FF1">
        <w:rPr>
          <w:rFonts w:eastAsiaTheme="minorHAnsi" w:cstheme="minorBidi"/>
          <w:u w:val="single"/>
        </w:rPr>
        <w:t>ales », TYRALBA 2 « mutées rouges », TYRALBA 2 « mutées bleues</w:t>
      </w:r>
      <w:r w:rsidRPr="00AB5FF1">
        <w:rPr>
          <w:rFonts w:eastAsiaTheme="minorHAnsi" w:cstheme="minorBidi"/>
          <w:u w:val="single"/>
        </w:rPr>
        <w:t> »</w:t>
      </w:r>
      <w:r w:rsidRPr="00AB5FF1">
        <w:rPr>
          <w:rFonts w:eastAsiaTheme="minorHAnsi" w:cstheme="minorBidi"/>
        </w:rPr>
        <w:t xml:space="preserve"> ( MO. X 400) </w:t>
      </w:r>
    </w:p>
    <w:p w:rsidR="00037694" w:rsidRPr="00AB5FF1" w:rsidRDefault="00037694">
      <w:pPr>
        <w:rPr>
          <w:rFonts w:eastAsiaTheme="minorHAnsi" w:cstheme="minorBidi"/>
        </w:rPr>
      </w:pPr>
    </w:p>
    <w:p w:rsidR="00037694" w:rsidRPr="00AB5FF1" w:rsidRDefault="00037694">
      <w:pPr>
        <w:rPr>
          <w:rFonts w:eastAsiaTheme="minorHAnsi" w:cstheme="minorBidi"/>
          <w:u w:val="single"/>
        </w:rPr>
      </w:pPr>
      <w:r w:rsidRPr="00AB5FF1">
        <w:rPr>
          <w:rFonts w:eastAsiaTheme="minorHAnsi" w:cstheme="minorBidi"/>
          <w:u w:val="single"/>
        </w:rPr>
        <w:t>Origine génétique de ces différentes souches de levures</w:t>
      </w:r>
    </w:p>
    <w:p w:rsidR="00037694" w:rsidRPr="00AB5FF1" w:rsidRDefault="00037694">
      <w:pPr>
        <w:rPr>
          <w:rFonts w:eastAsiaTheme="minorHAnsi" w:cstheme="minorBidi"/>
        </w:rPr>
      </w:pPr>
      <w:r w:rsidRPr="00AB5FF1">
        <w:rPr>
          <w:rFonts w:eastAsiaTheme="minorHAnsi" w:cstheme="minorBidi"/>
        </w:rPr>
        <w:t>Sachant qu’il existe UN gène à l’origine de la couleur des levures et que ce gène peut exister sous TROIS formes (allèles), il s’agit de comparer les séquences nucléotidiques de ces trois allèles avec le logiciel ANAGENE :</w:t>
      </w:r>
    </w:p>
    <w:p w:rsidR="00037694" w:rsidRPr="00AB5FF1" w:rsidRDefault="00037694">
      <w:pPr>
        <w:rPr>
          <w:rFonts w:eastAsiaTheme="minorHAnsi" w:cstheme="minorBidi"/>
        </w:rPr>
      </w:pPr>
      <w:r w:rsidRPr="00AB5FF1">
        <w:rPr>
          <w:rFonts w:eastAsiaTheme="minorHAnsi" w:cstheme="minorBidi"/>
          <w:noProof/>
          <w:lang w:eastAsia="fr-FR"/>
        </w:rPr>
        <w:drawing>
          <wp:inline distT="0" distB="0" distL="0" distR="0">
            <wp:extent cx="4542578" cy="864223"/>
            <wp:effectExtent l="25400" t="0" r="4022"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544941" cy="864673"/>
                    </a:xfrm>
                    <a:prstGeom prst="rect">
                      <a:avLst/>
                    </a:prstGeom>
                    <a:noFill/>
                    <a:ln w="9525">
                      <a:noFill/>
                      <a:miter lim="800000"/>
                      <a:headEnd/>
                      <a:tailEnd/>
                    </a:ln>
                  </pic:spPr>
                </pic:pic>
              </a:graphicData>
            </a:graphic>
          </wp:inline>
        </w:drawing>
      </w:r>
    </w:p>
    <w:p w:rsidR="00037694" w:rsidRPr="00AB5FF1" w:rsidRDefault="00037694">
      <w:pPr>
        <w:rPr>
          <w:rFonts w:eastAsiaTheme="minorHAnsi" w:cstheme="minorBidi"/>
          <w:u w:val="single"/>
        </w:rPr>
      </w:pPr>
      <w:r w:rsidRPr="00AB5FF1">
        <w:rPr>
          <w:rFonts w:eastAsiaTheme="minorHAnsi" w:cstheme="minorBidi"/>
          <w:u w:val="single"/>
        </w:rPr>
        <w:t>Capture d’écran de la comparaison des trois allèles avec Anagène</w:t>
      </w:r>
    </w:p>
    <w:p w:rsidR="00037694" w:rsidRPr="00AB5FF1" w:rsidRDefault="00037694">
      <w:pPr>
        <w:rPr>
          <w:rFonts w:eastAsiaTheme="minorHAnsi" w:cstheme="minorBidi"/>
          <w:u w:val="single"/>
        </w:rPr>
      </w:pPr>
    </w:p>
    <w:tbl>
      <w:tblPr>
        <w:tblStyle w:val="Grille"/>
        <w:tblW w:w="0" w:type="auto"/>
        <w:tblLook w:val="00BF"/>
      </w:tblPr>
      <w:tblGrid>
        <w:gridCol w:w="4503"/>
        <w:gridCol w:w="6403"/>
      </w:tblGrid>
      <w:tr w:rsidR="00037694" w:rsidRPr="00AB5FF1">
        <w:tc>
          <w:tcPr>
            <w:tcW w:w="4503" w:type="dxa"/>
          </w:tcPr>
          <w:p w:rsidR="00037694" w:rsidRPr="00AB5FF1" w:rsidRDefault="00037694" w:rsidP="00037694">
            <w:pPr>
              <w:rPr>
                <w:rFonts w:eastAsiaTheme="minorHAnsi" w:cstheme="minorBidi"/>
                <w:u w:val="single"/>
              </w:rPr>
            </w:pPr>
            <w:r w:rsidRPr="00AB5FF1">
              <w:rPr>
                <w:rFonts w:eastAsiaTheme="minorHAnsi" w:cstheme="minorBidi"/>
                <w:u w:val="single"/>
              </w:rPr>
              <w:t>Comparaison des séquences nucléotides</w:t>
            </w:r>
          </w:p>
        </w:tc>
        <w:tc>
          <w:tcPr>
            <w:tcW w:w="6403" w:type="dxa"/>
          </w:tcPr>
          <w:p w:rsidR="00037694" w:rsidRPr="00AB5FF1" w:rsidRDefault="00037694">
            <w:pPr>
              <w:rPr>
                <w:rFonts w:eastAsiaTheme="minorHAnsi" w:cstheme="minorBidi"/>
              </w:rPr>
            </w:pPr>
            <w:r w:rsidRPr="00AB5FF1">
              <w:rPr>
                <w:rFonts w:eastAsiaTheme="minorHAnsi" w:cstheme="minorBidi"/>
              </w:rPr>
              <w:t>TYRALBA 1 (normal)</w:t>
            </w:r>
          </w:p>
        </w:tc>
      </w:tr>
      <w:tr w:rsidR="00037694" w:rsidRPr="00AB5FF1">
        <w:tc>
          <w:tcPr>
            <w:tcW w:w="4503" w:type="dxa"/>
          </w:tcPr>
          <w:p w:rsidR="00AB5FF1" w:rsidRPr="00AB5FF1" w:rsidRDefault="00AB5FF1">
            <w:pPr>
              <w:rPr>
                <w:rFonts w:eastAsiaTheme="minorHAnsi" w:cstheme="minorBidi"/>
              </w:rPr>
            </w:pPr>
          </w:p>
          <w:p w:rsidR="00037694" w:rsidRPr="00AB5FF1" w:rsidRDefault="00AB5FF1">
            <w:pPr>
              <w:rPr>
                <w:rFonts w:eastAsiaTheme="minorHAnsi" w:cstheme="minorBidi"/>
              </w:rPr>
            </w:pPr>
            <w:r w:rsidRPr="00AB5FF1">
              <w:rPr>
                <w:rFonts w:eastAsiaTheme="minorHAnsi" w:cstheme="minorBidi"/>
              </w:rPr>
              <w:t>TYRALBA 2 « mutées rouges</w:t>
            </w:r>
            <w:r w:rsidR="00037694" w:rsidRPr="00AB5FF1">
              <w:rPr>
                <w:rFonts w:eastAsiaTheme="minorHAnsi" w:cstheme="minorBidi"/>
              </w:rPr>
              <w:t> »,</w:t>
            </w:r>
          </w:p>
        </w:tc>
        <w:tc>
          <w:tcPr>
            <w:tcW w:w="6403" w:type="dxa"/>
          </w:tcPr>
          <w:p w:rsidR="00AB5FF1" w:rsidRPr="00AB5FF1" w:rsidRDefault="00037694">
            <w:pPr>
              <w:rPr>
                <w:rFonts w:eastAsiaTheme="minorHAnsi" w:cstheme="minorBidi"/>
              </w:rPr>
            </w:pPr>
            <w:r w:rsidRPr="00AB5FF1">
              <w:rPr>
                <w:rFonts w:eastAsiaTheme="minorHAnsi" w:cstheme="minorBidi"/>
              </w:rPr>
              <w:t xml:space="preserve">Position n°575 un A remplacé par un </w:t>
            </w:r>
            <w:r w:rsidR="00AB5FF1" w:rsidRPr="00AB5FF1">
              <w:rPr>
                <w:rFonts w:eastAsiaTheme="minorHAnsi" w:cstheme="minorBidi"/>
              </w:rPr>
              <w:t>C (mutation par substitution)</w:t>
            </w:r>
          </w:p>
          <w:p w:rsidR="00037694" w:rsidRPr="00AB5FF1" w:rsidRDefault="00AB5FF1">
            <w:pPr>
              <w:rPr>
                <w:rFonts w:eastAsiaTheme="minorHAnsi" w:cstheme="minorBidi"/>
                <w:u w:val="single"/>
              </w:rPr>
            </w:pPr>
            <w:r w:rsidRPr="00AB5FF1">
              <w:rPr>
                <w:rFonts w:eastAsiaTheme="minorHAnsi" w:cstheme="minorBidi"/>
              </w:rPr>
              <w:t>Position N°1147 un A remplacé par un G (mutation par substitution)</w:t>
            </w:r>
          </w:p>
        </w:tc>
      </w:tr>
      <w:tr w:rsidR="00037694" w:rsidRPr="00AB5FF1">
        <w:tc>
          <w:tcPr>
            <w:tcW w:w="4503" w:type="dxa"/>
          </w:tcPr>
          <w:p w:rsidR="00AB5FF1" w:rsidRPr="00AB5FF1" w:rsidRDefault="00AB5FF1">
            <w:pPr>
              <w:rPr>
                <w:rFonts w:eastAsiaTheme="minorHAnsi" w:cstheme="minorBidi"/>
              </w:rPr>
            </w:pPr>
          </w:p>
          <w:p w:rsidR="00037694" w:rsidRPr="00AB5FF1" w:rsidRDefault="00AB5FF1">
            <w:pPr>
              <w:rPr>
                <w:rFonts w:eastAsiaTheme="minorHAnsi" w:cstheme="minorBidi"/>
              </w:rPr>
            </w:pPr>
            <w:r w:rsidRPr="00AB5FF1">
              <w:rPr>
                <w:rFonts w:eastAsiaTheme="minorHAnsi" w:cstheme="minorBidi"/>
              </w:rPr>
              <w:t>TYRALBA 3 « mutées bleues</w:t>
            </w:r>
            <w:r w:rsidR="00037694" w:rsidRPr="00AB5FF1">
              <w:rPr>
                <w:rFonts w:eastAsiaTheme="minorHAnsi" w:cstheme="minorBidi"/>
              </w:rPr>
              <w:t> »</w:t>
            </w:r>
          </w:p>
        </w:tc>
        <w:tc>
          <w:tcPr>
            <w:tcW w:w="6403" w:type="dxa"/>
          </w:tcPr>
          <w:p w:rsidR="00AB5FF1" w:rsidRPr="00AB5FF1" w:rsidRDefault="00AB5FF1">
            <w:pPr>
              <w:rPr>
                <w:rFonts w:eastAsiaTheme="minorHAnsi" w:cstheme="minorBidi"/>
              </w:rPr>
            </w:pPr>
            <w:r w:rsidRPr="00AB5FF1">
              <w:rPr>
                <w:rFonts w:eastAsiaTheme="minorHAnsi" w:cstheme="minorBidi"/>
              </w:rPr>
              <w:t>Position N° 533 un G remplacé par un A (mutation par substitution)</w:t>
            </w:r>
          </w:p>
          <w:p w:rsidR="00037694" w:rsidRPr="00AB5FF1" w:rsidRDefault="00AB5FF1">
            <w:pPr>
              <w:rPr>
                <w:rFonts w:eastAsiaTheme="minorHAnsi" w:cstheme="minorBidi"/>
              </w:rPr>
            </w:pPr>
            <w:r w:rsidRPr="00AB5FF1">
              <w:rPr>
                <w:rFonts w:eastAsiaTheme="minorHAnsi" w:cstheme="minorBidi"/>
              </w:rPr>
              <w:t>Position N°1147 un A remplacé par un G (mutation par substitution)</w:t>
            </w:r>
          </w:p>
        </w:tc>
      </w:tr>
    </w:tbl>
    <w:p w:rsidR="00AB5FF1" w:rsidRPr="00AB5FF1" w:rsidRDefault="00037694" w:rsidP="00037694">
      <w:pPr>
        <w:rPr>
          <w:rFonts w:eastAsiaTheme="minorHAnsi" w:cstheme="minorBidi"/>
          <w:u w:val="single"/>
        </w:rPr>
      </w:pPr>
      <w:r w:rsidRPr="00AB5FF1">
        <w:rPr>
          <w:rFonts w:eastAsiaTheme="minorHAnsi" w:cstheme="minorBidi"/>
          <w:u w:val="single"/>
        </w:rPr>
        <w:t xml:space="preserve">Tableau de comparaison des séquences nucléotidiques des trois allèles. </w:t>
      </w:r>
    </w:p>
    <w:p w:rsidR="00037694" w:rsidRPr="00AB5FF1" w:rsidRDefault="00AB5FF1" w:rsidP="00037694">
      <w:pPr>
        <w:rPr>
          <w:rFonts w:eastAsiaTheme="minorHAnsi" w:cstheme="minorBidi"/>
        </w:rPr>
      </w:pPr>
      <w:r w:rsidRPr="00AB5FF1">
        <w:rPr>
          <w:rFonts w:eastAsiaTheme="minorHAnsi" w:cstheme="minorBidi"/>
          <w:u w:val="single"/>
        </w:rPr>
        <w:t xml:space="preserve">Conclusion : </w:t>
      </w:r>
      <w:r w:rsidRPr="00AB5FF1">
        <w:rPr>
          <w:rFonts w:eastAsiaTheme="minorHAnsi" w:cstheme="minorBidi"/>
        </w:rPr>
        <w:t xml:space="preserve">les différentes couleurs chez la levure, sont dues à des mutations qui touchent le gène qui détermine le caractère « couleur des levures ». Donc : un changement de séquence des nucléotides de l’ADN peut entrainer un changement de caractère. </w:t>
      </w:r>
    </w:p>
    <w:p w:rsidR="00EF7FDF" w:rsidRPr="00AB5FF1" w:rsidRDefault="00EF7FDF">
      <w:pPr>
        <w:rPr>
          <w:rFonts w:eastAsiaTheme="minorHAnsi" w:cstheme="minorBidi"/>
        </w:rPr>
      </w:pPr>
    </w:p>
    <w:sectPr w:rsidR="00EF7FDF" w:rsidRPr="00AB5FF1" w:rsidSect="00037AB7">
      <w:pgSz w:w="11900" w:h="16840"/>
      <w:pgMar w:top="567" w:right="567" w:bottom="567" w:left="567" w:header="567" w:footer="567"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37AB7"/>
    <w:rsid w:val="00037694"/>
    <w:rsid w:val="00037AB7"/>
    <w:rsid w:val="000C1B54"/>
    <w:rsid w:val="000D394E"/>
    <w:rsid w:val="00150BED"/>
    <w:rsid w:val="00195F2A"/>
    <w:rsid w:val="002B1932"/>
    <w:rsid w:val="003B5C92"/>
    <w:rsid w:val="003B75E9"/>
    <w:rsid w:val="00582136"/>
    <w:rsid w:val="006A021F"/>
    <w:rsid w:val="007F296F"/>
    <w:rsid w:val="008B3013"/>
    <w:rsid w:val="009C27FD"/>
    <w:rsid w:val="00AB0B5F"/>
    <w:rsid w:val="00AB5FF1"/>
    <w:rsid w:val="00CD10F6"/>
    <w:rsid w:val="00D17B65"/>
    <w:rsid w:val="00D7201D"/>
    <w:rsid w:val="00E55984"/>
    <w:rsid w:val="00ED5CF6"/>
    <w:rsid w:val="00EF7FDF"/>
  </w:rsids>
  <m:mathPr>
    <m:mathFont m:val="Impact"/>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AB7"/>
    <w:rPr>
      <w:rFonts w:ascii="Arial" w:eastAsia="Cambria" w:hAnsi="Arial" w:cs="Times New Roman"/>
      <w:sz w:val="22"/>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037AB7"/>
    <w:pPr>
      <w:spacing w:beforeLines="1" w:afterLines="1"/>
    </w:pPr>
    <w:rPr>
      <w:rFonts w:ascii="Times" w:eastAsiaTheme="minorHAnsi" w:hAnsi="Times"/>
      <w:sz w:val="20"/>
      <w:szCs w:val="20"/>
      <w:lang w:eastAsia="fr-FR"/>
    </w:rPr>
  </w:style>
  <w:style w:type="table" w:styleId="Grille">
    <w:name w:val="Table Grid"/>
    <w:basedOn w:val="TableauNormal"/>
    <w:uiPriority w:val="59"/>
    <w:rsid w:val="000D3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D5CF6"/>
    <w:rPr>
      <w:rFonts w:ascii="Tahoma" w:hAnsi="Tahoma" w:cs="Tahoma"/>
      <w:sz w:val="16"/>
      <w:szCs w:val="16"/>
    </w:rPr>
  </w:style>
  <w:style w:type="character" w:customStyle="1" w:styleId="TextedebullesCar">
    <w:name w:val="Texte de bulles Car"/>
    <w:basedOn w:val="Policepardfaut"/>
    <w:link w:val="Textedebulles"/>
    <w:uiPriority w:val="99"/>
    <w:semiHidden/>
    <w:rsid w:val="00ED5CF6"/>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4225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767</Words>
  <Characters>4374</Characters>
  <Application>Microsoft Macintosh Word</Application>
  <DocSecurity>0</DocSecurity>
  <Lines>36</Lines>
  <Paragraphs>8</Paragraphs>
  <ScaleCrop>false</ScaleCrop>
  <Company>Perso</Company>
  <LinksUpToDate>false</LinksUpToDate>
  <CharactersWithSpaces>5371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Uyttenhove</dc:creator>
  <cp:keywords/>
  <cp:lastModifiedBy>Frederic Uyttenhove</cp:lastModifiedBy>
  <cp:revision>2</cp:revision>
  <cp:lastPrinted>2016-03-09T23:30:00Z</cp:lastPrinted>
  <dcterms:created xsi:type="dcterms:W3CDTF">2016-09-08T04:05:00Z</dcterms:created>
  <dcterms:modified xsi:type="dcterms:W3CDTF">2016-09-08T04:05:00Z</dcterms:modified>
</cp:coreProperties>
</file>